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86" w:rsidRPr="009F7A86" w:rsidRDefault="009F7A86" w:rsidP="00FD5DFD">
      <w:pPr>
        <w:pStyle w:val="Heading2"/>
        <w:spacing w:before="6"/>
        <w:ind w:left="0"/>
        <w:jc w:val="center"/>
        <w:rPr>
          <w:b/>
          <w:sz w:val="32"/>
          <w:szCs w:val="24"/>
        </w:rPr>
      </w:pPr>
      <w:r w:rsidRPr="009F7A86">
        <w:rPr>
          <w:b/>
          <w:sz w:val="32"/>
          <w:szCs w:val="24"/>
        </w:rPr>
        <w:t>Georgia Department of Transportation’s</w:t>
      </w:r>
    </w:p>
    <w:p w:rsidR="009F7A86" w:rsidRDefault="00780B86" w:rsidP="009F7A86">
      <w:pPr>
        <w:pStyle w:val="Heading2"/>
        <w:spacing w:before="6"/>
        <w:ind w:left="0"/>
        <w:jc w:val="center"/>
        <w:rPr>
          <w:b/>
          <w:sz w:val="32"/>
          <w:szCs w:val="24"/>
        </w:rPr>
      </w:pPr>
      <w:r>
        <w:rPr>
          <w:b/>
          <w:sz w:val="32"/>
          <w:szCs w:val="24"/>
        </w:rPr>
        <w:t>FINAL</w:t>
      </w:r>
      <w:r w:rsidR="0070376E">
        <w:rPr>
          <w:b/>
          <w:sz w:val="32"/>
          <w:szCs w:val="24"/>
        </w:rPr>
        <w:t xml:space="preserve"> Criteria for TFA (2017</w:t>
      </w:r>
      <w:r w:rsidR="009F7A86" w:rsidRPr="009F7A86">
        <w:rPr>
          <w:b/>
          <w:sz w:val="32"/>
          <w:szCs w:val="24"/>
        </w:rPr>
        <w:t xml:space="preserve">) in the </w:t>
      </w:r>
      <w:r w:rsidR="00E83F84">
        <w:rPr>
          <w:b/>
          <w:sz w:val="32"/>
          <w:szCs w:val="24"/>
        </w:rPr>
        <w:t>Southern</w:t>
      </w:r>
      <w:r w:rsidR="009F7A86" w:rsidRPr="009F7A86">
        <w:rPr>
          <w:b/>
          <w:sz w:val="32"/>
          <w:szCs w:val="24"/>
        </w:rPr>
        <w:t xml:space="preserve"> Georgia Region</w:t>
      </w:r>
    </w:p>
    <w:p w:rsidR="009F7A86" w:rsidRDefault="009F7A86" w:rsidP="009F7A86">
      <w:pPr>
        <w:pStyle w:val="Heading2"/>
        <w:spacing w:before="6"/>
        <w:ind w:left="0"/>
        <w:jc w:val="center"/>
        <w:rPr>
          <w:b/>
          <w:sz w:val="32"/>
          <w:szCs w:val="24"/>
        </w:rPr>
      </w:pPr>
    </w:p>
    <w:p w:rsidR="009F7A86" w:rsidRPr="009F7A86" w:rsidRDefault="00780B86" w:rsidP="009F7A86">
      <w:pPr>
        <w:pStyle w:val="Heading2"/>
        <w:spacing w:before="6"/>
        <w:ind w:left="0"/>
        <w:jc w:val="center"/>
        <w:rPr>
          <w:i/>
          <w:sz w:val="24"/>
          <w:szCs w:val="24"/>
        </w:rPr>
      </w:pPr>
      <w:r>
        <w:rPr>
          <w:i/>
          <w:sz w:val="24"/>
          <w:szCs w:val="24"/>
        </w:rPr>
        <w:t>Adopted July 13, 2017</w:t>
      </w:r>
    </w:p>
    <w:p w:rsidR="0061050C" w:rsidRDefault="00232ADE"/>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Applicable to All Program Areas</w:t>
      </w:r>
    </w:p>
    <w:p w:rsidR="009F7A86"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must be from plans and/or studies (for example, the GDOT work program, MPO long-range plan and short-range transportation program, county transportation</w:t>
      </w:r>
      <w:r w:rsidR="0005132A" w:rsidRPr="00A14105">
        <w:rPr>
          <w:rFonts w:ascii="Times New Roman" w:hAnsi="Times New Roman" w:cs="Times New Roman"/>
          <w:sz w:val="24"/>
        </w:rPr>
        <w:t xml:space="preserve"> </w:t>
      </w:r>
      <w:r w:rsidRPr="00A14105">
        <w:rPr>
          <w:rFonts w:ascii="Times New Roman" w:hAnsi="Times New Roman" w:cs="Times New Roman"/>
          <w:sz w:val="24"/>
        </w:rPr>
        <w:t>studies, etc.) and needs as assessed by local governments and the Regional Roundtable.</w:t>
      </w:r>
    </w:p>
    <w:p w:rsidR="00FD5DFD" w:rsidRDefault="00FD5DFD" w:rsidP="00780B86">
      <w:pPr>
        <w:pStyle w:val="ListParagraph"/>
        <w:numPr>
          <w:ilvl w:val="2"/>
          <w:numId w:val="2"/>
        </w:numPr>
      </w:pPr>
      <w:r>
        <w:t>The Final Constrained Project Investment List is required to expend at least 30 percent of the estimated revenue on projects included in the state-wide strategic transportation plan.</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780B86">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Emphasis will be on the</w:t>
      </w:r>
      <w:bookmarkStart w:id="0" w:name="_GoBack"/>
      <w:bookmarkEnd w:id="0"/>
      <w:r w:rsidRPr="00A14105">
        <w:rPr>
          <w:rFonts w:ascii="Times New Roman" w:hAnsi="Times New Roman" w:cs="Times New Roman"/>
          <w:sz w:val="24"/>
        </w:rPr>
        <w:t xml:space="preserve"> construction phase or acquisition of capital equipment; however, project phases other than construction can be included in the Unconstrained Example Investment List. Preference will be given for preliminary engineering, right of way, and environmental reviews which ultimately deliver a construction project within the ten-year sales tax period.</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Each project phase included in the investment list, and each phase necessary to complete the same, regardless of funding sources, must demonstrate full funding.</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Emphasis will be on delivery. All project phases funded with Transportation Investment Act revenue should be able to be completed or underway within ten years. The Director of Planning recommends that approximately 40% of the total expected Transportation Investment Act funding should be allocated to project phases that could be completed or underway within four years of the start of the regional sales tax, and the remaining funds should be allocated to projects that could be completed or underway within ten years of the start of the regional sales tax (excludes 25% discretionary local share to be distributed by formula to cities and counties.)</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Roadway Capital</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The projects that qualify under "roadway capital" serve origins or destination or trips to/from and within major employment and activit</w:t>
      </w:r>
      <w:r w:rsidR="0005132A" w:rsidRPr="00A14105">
        <w:rPr>
          <w:rFonts w:ascii="Times New Roman" w:hAnsi="Times New Roman" w:cs="Times New Roman"/>
          <w:sz w:val="24"/>
        </w:rPr>
        <w:t>y centers throughout the region</w:t>
      </w:r>
      <w:r w:rsidRPr="00A14105">
        <w:rPr>
          <w:rFonts w:ascii="Times New Roman" w:hAnsi="Times New Roman" w:cs="Times New Roman"/>
          <w:sz w:val="24"/>
        </w:rPr>
        <w:t>.</w:t>
      </w:r>
      <w:r w:rsidR="0005132A" w:rsidRPr="00A14105">
        <w:rPr>
          <w:rFonts w:ascii="Times New Roman" w:hAnsi="Times New Roman" w:cs="Times New Roman"/>
          <w:sz w:val="24"/>
        </w:rPr>
        <w:t xml:space="preserve"> </w:t>
      </w:r>
      <w:r w:rsidR="00342399">
        <w:rPr>
          <w:rFonts w:ascii="Times New Roman" w:hAnsi="Times New Roman" w:cs="Times New Roman"/>
          <w:sz w:val="24"/>
        </w:rPr>
        <w:t xml:space="preserve">Consideration should be given to the daytime population of regional </w:t>
      </w:r>
      <w:r w:rsidR="007B00B4">
        <w:rPr>
          <w:rFonts w:ascii="Times New Roman" w:hAnsi="Times New Roman" w:cs="Times New Roman"/>
          <w:sz w:val="24"/>
        </w:rPr>
        <w:t>cities</w:t>
      </w:r>
      <w:r w:rsidR="00342399">
        <w:rPr>
          <w:rFonts w:ascii="Times New Roman" w:hAnsi="Times New Roman" w:cs="Times New Roman"/>
          <w:sz w:val="24"/>
        </w:rPr>
        <w:t xml:space="preserve">. </w:t>
      </w:r>
      <w:r w:rsidRPr="00A14105">
        <w:rPr>
          <w:rFonts w:ascii="Times New Roman" w:hAnsi="Times New Roman" w:cs="Times New Roman"/>
          <w:sz w:val="24"/>
        </w:rPr>
        <w:t>These projects could be new roads, roadway widening, interchanges, interstate improvements, bridges</w:t>
      </w:r>
      <w:r w:rsidR="00025EA4">
        <w:rPr>
          <w:rFonts w:ascii="Times New Roman" w:hAnsi="Times New Roman" w:cs="Times New Roman"/>
          <w:sz w:val="24"/>
        </w:rPr>
        <w:t xml:space="preserve">/railroad </w:t>
      </w:r>
      <w:r w:rsidR="00EE365C">
        <w:rPr>
          <w:rFonts w:ascii="Times New Roman" w:hAnsi="Times New Roman" w:cs="Times New Roman"/>
          <w:sz w:val="24"/>
        </w:rPr>
        <w:t>under/</w:t>
      </w:r>
      <w:r w:rsidR="00025EA4">
        <w:rPr>
          <w:rFonts w:ascii="Times New Roman" w:hAnsi="Times New Roman" w:cs="Times New Roman"/>
          <w:sz w:val="24"/>
        </w:rPr>
        <w:t>overpasses</w:t>
      </w:r>
      <w:r w:rsidRPr="00A14105">
        <w:rPr>
          <w:rFonts w:ascii="Times New Roman" w:hAnsi="Times New Roman" w:cs="Times New Roman"/>
          <w:sz w:val="24"/>
        </w:rPr>
        <w:t>, economic development corridors, etc.</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Roadway and Bridge Maintenance (asset management)</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 xml:space="preserve">Priority for resurfacing/rehabilitation needs is on state routes or routes that are considered regionally significant as defined by roads </w:t>
      </w:r>
      <w:r w:rsidR="00342399">
        <w:rPr>
          <w:rFonts w:ascii="Times New Roman" w:hAnsi="Times New Roman" w:cs="Times New Roman"/>
          <w:sz w:val="24"/>
        </w:rPr>
        <w:t xml:space="preserve">(example: roadways functional classified as arterial or collector) </w:t>
      </w:r>
      <w:r w:rsidRPr="00A14105">
        <w:rPr>
          <w:rFonts w:ascii="Times New Roman" w:hAnsi="Times New Roman" w:cs="Times New Roman"/>
          <w:sz w:val="24"/>
        </w:rPr>
        <w:t xml:space="preserve">that connect major regional employment or activity </w:t>
      </w:r>
      <w:r w:rsidRPr="00A14105">
        <w:rPr>
          <w:rFonts w:ascii="Times New Roman" w:hAnsi="Times New Roman" w:cs="Times New Roman"/>
          <w:sz w:val="24"/>
        </w:rPr>
        <w:lastRenderedPageBreak/>
        <w:t>centers</w:t>
      </w:r>
      <w:r w:rsidR="00342399">
        <w:rPr>
          <w:rFonts w:ascii="Times New Roman" w:hAnsi="Times New Roman" w:cs="Times New Roman"/>
          <w:sz w:val="24"/>
        </w:rPr>
        <w:t xml:space="preserve"> or high density residential areas</w:t>
      </w:r>
      <w:r w:rsidRPr="00A14105">
        <w:rPr>
          <w:rFonts w:ascii="Times New Roman" w:hAnsi="Times New Roman" w:cs="Times New Roman"/>
          <w:sz w:val="24"/>
        </w:rPr>
        <w:t xml:space="preserve">. </w:t>
      </w:r>
      <w:r w:rsidR="00342399">
        <w:rPr>
          <w:rFonts w:ascii="Times New Roman" w:hAnsi="Times New Roman" w:cs="Times New Roman"/>
          <w:sz w:val="24"/>
        </w:rPr>
        <w:t xml:space="preserve">Consideration should be given to the daytime population of regional </w:t>
      </w:r>
      <w:r w:rsidR="007B00B4">
        <w:rPr>
          <w:rFonts w:ascii="Times New Roman" w:hAnsi="Times New Roman" w:cs="Times New Roman"/>
          <w:sz w:val="24"/>
        </w:rPr>
        <w:t>cities</w:t>
      </w:r>
      <w:r w:rsidR="00342399">
        <w:rPr>
          <w:rFonts w:ascii="Times New Roman" w:hAnsi="Times New Roman" w:cs="Times New Roman"/>
          <w:sz w:val="24"/>
        </w:rPr>
        <w:t xml:space="preserve">. </w:t>
      </w:r>
      <w:r w:rsidRPr="00A14105">
        <w:rPr>
          <w:rFonts w:ascii="Times New Roman" w:hAnsi="Times New Roman" w:cs="Times New Roman"/>
          <w:sz w:val="24"/>
        </w:rPr>
        <w:t>Priority will be based on risk, on PACES ratings provided by GDOT or upon request by local elected officials.</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Brid</w:t>
      </w:r>
      <w:r w:rsidR="0005132A" w:rsidRPr="00A14105">
        <w:rPr>
          <w:rFonts w:ascii="Times New Roman" w:hAnsi="Times New Roman" w:cs="Times New Roman"/>
          <w:sz w:val="24"/>
        </w:rPr>
        <w:t xml:space="preserve">ge maintenance and replacement shall be determined based on ratings provided </w:t>
      </w:r>
      <w:r w:rsidRPr="00A14105">
        <w:rPr>
          <w:rFonts w:ascii="Times New Roman" w:hAnsi="Times New Roman" w:cs="Times New Roman"/>
          <w:sz w:val="24"/>
        </w:rPr>
        <w:t>by GDOT and/or other ratings</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Safety and Traffic Operations</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Safety</w:t>
      </w:r>
    </w:p>
    <w:p w:rsidR="0005132A" w:rsidRPr="00A14105" w:rsidRDefault="009F7A86" w:rsidP="0005132A">
      <w:pPr>
        <w:pStyle w:val="ListParagraph"/>
        <w:numPr>
          <w:ilvl w:val="2"/>
          <w:numId w:val="2"/>
        </w:numPr>
        <w:jc w:val="both"/>
        <w:rPr>
          <w:rFonts w:ascii="Times New Roman" w:hAnsi="Times New Roman" w:cs="Times New Roman"/>
          <w:sz w:val="24"/>
        </w:rPr>
      </w:pPr>
      <w:r w:rsidRPr="00A14105">
        <w:rPr>
          <w:rFonts w:ascii="Times New Roman" w:hAnsi="Times New Roman" w:cs="Times New Roman"/>
          <w:sz w:val="24"/>
        </w:rPr>
        <w:t>Projects that align with the key emphasis areas of the Governor's Strategic Highway Safety Plan (SHSP)</w:t>
      </w:r>
    </w:p>
    <w:p w:rsidR="009F7A86" w:rsidRPr="00A14105" w:rsidRDefault="009F7A86" w:rsidP="0005132A">
      <w:pPr>
        <w:pStyle w:val="ListParagraph"/>
        <w:numPr>
          <w:ilvl w:val="2"/>
          <w:numId w:val="2"/>
        </w:numPr>
        <w:jc w:val="both"/>
        <w:rPr>
          <w:rFonts w:ascii="Times New Roman" w:hAnsi="Times New Roman" w:cs="Times New Roman"/>
          <w:sz w:val="24"/>
        </w:rPr>
      </w:pPr>
      <w:r w:rsidRPr="00A14105">
        <w:rPr>
          <w:rFonts w:ascii="Times New Roman" w:hAnsi="Times New Roman" w:cs="Times New Roman"/>
          <w:sz w:val="24"/>
        </w:rPr>
        <w:t>Priority is given to projects that correct or improve a road location or feature with high potential for safety improvements, or address a specific highway safety deficiency. The objective of each project must be to reduce fatalities and serious injuries.</w:t>
      </w:r>
    </w:p>
    <w:p w:rsidR="009F7A86" w:rsidRPr="00A14105" w:rsidRDefault="009F7A86" w:rsidP="0005132A">
      <w:pPr>
        <w:pStyle w:val="ListParagraph"/>
        <w:numPr>
          <w:ilvl w:val="2"/>
          <w:numId w:val="2"/>
        </w:numPr>
        <w:jc w:val="both"/>
        <w:rPr>
          <w:rFonts w:ascii="Times New Roman" w:hAnsi="Times New Roman" w:cs="Times New Roman"/>
          <w:sz w:val="24"/>
        </w:rPr>
      </w:pPr>
      <w:r w:rsidRPr="00A14105">
        <w:rPr>
          <w:rFonts w:ascii="Times New Roman" w:hAnsi="Times New Roman" w:cs="Times New Roman"/>
          <w:sz w:val="24"/>
        </w:rPr>
        <w:t>Project may include intersections improvements to address safety concerns, shoulder widenings, pedestrian/bicycle safety improvements, hazard eliminations at rail-roadway crossings, traffic calming measures, installation of guardrails, crash attenuators, traffic signal upgrades, signage, and pavement marking improvement projects, etc.</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Traffic Operations</w:t>
      </w:r>
    </w:p>
    <w:p w:rsidR="009F7A86" w:rsidRPr="00A14105" w:rsidRDefault="009F7A86" w:rsidP="0005132A">
      <w:pPr>
        <w:pStyle w:val="ListParagraph"/>
        <w:numPr>
          <w:ilvl w:val="2"/>
          <w:numId w:val="2"/>
        </w:numPr>
        <w:jc w:val="both"/>
        <w:rPr>
          <w:rFonts w:ascii="Times New Roman" w:hAnsi="Times New Roman" w:cs="Times New Roman"/>
          <w:sz w:val="24"/>
        </w:rPr>
      </w:pPr>
      <w:r w:rsidRPr="00A14105">
        <w:rPr>
          <w:rFonts w:ascii="Times New Roman" w:hAnsi="Times New Roman" w:cs="Times New Roman"/>
          <w:sz w:val="24"/>
        </w:rPr>
        <w:t>Projects that improve or enhance the region's intelligent transportation system network, incident management program or signal coordination and timing.</w:t>
      </w:r>
    </w:p>
    <w:p w:rsidR="009F7A86" w:rsidRPr="00A14105" w:rsidRDefault="009F7A86" w:rsidP="0005132A">
      <w:pPr>
        <w:pStyle w:val="ListParagraph"/>
        <w:numPr>
          <w:ilvl w:val="2"/>
          <w:numId w:val="2"/>
        </w:numPr>
        <w:jc w:val="both"/>
        <w:rPr>
          <w:rFonts w:ascii="Times New Roman" w:hAnsi="Times New Roman" w:cs="Times New Roman"/>
          <w:sz w:val="24"/>
        </w:rPr>
      </w:pPr>
      <w:r w:rsidRPr="00A14105">
        <w:rPr>
          <w:rFonts w:ascii="Times New Roman" w:hAnsi="Times New Roman" w:cs="Times New Roman"/>
          <w:sz w:val="24"/>
        </w:rPr>
        <w:t>Projects addressing an existing operational issue resulting in an improved level of service or reduction in delay or other congestion costs.</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Freight and Logistics</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that address the demand for goods movement into, out of, and within the state as identified through the Statewide Freight and Logistics plan.</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that enhance the flow of freight transported by trucks and/or rail</w:t>
      </w:r>
      <w:r w:rsidR="00025EA4">
        <w:rPr>
          <w:rFonts w:ascii="Times New Roman" w:hAnsi="Times New Roman" w:cs="Times New Roman"/>
          <w:sz w:val="24"/>
        </w:rPr>
        <w:t xml:space="preserve"> (ex. railroad </w:t>
      </w:r>
      <w:r w:rsidR="00EE365C">
        <w:rPr>
          <w:rFonts w:ascii="Times New Roman" w:hAnsi="Times New Roman" w:cs="Times New Roman"/>
          <w:sz w:val="24"/>
        </w:rPr>
        <w:t>under/</w:t>
      </w:r>
      <w:r w:rsidR="00025EA4">
        <w:rPr>
          <w:rFonts w:ascii="Times New Roman" w:hAnsi="Times New Roman" w:cs="Times New Roman"/>
          <w:sz w:val="24"/>
        </w:rPr>
        <w:t>overpasses and other rail grade crossings)</w:t>
      </w:r>
      <w:r w:rsidRPr="00A14105">
        <w:rPr>
          <w:rFonts w:ascii="Times New Roman" w:hAnsi="Times New Roman" w:cs="Times New Roman"/>
          <w:sz w:val="24"/>
        </w:rPr>
        <w:t>.</w:t>
      </w:r>
    </w:p>
    <w:p w:rsidR="009F7A86" w:rsidRPr="00A14105" w:rsidRDefault="009F7A86" w:rsidP="0005132A">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that facilitate the transfer of freight between modes. In particular, projects that improve the flow of freight into/out of Georgia's existing ports.</w:t>
      </w:r>
    </w:p>
    <w:p w:rsidR="009F7A86" w:rsidRPr="00A14105" w:rsidRDefault="009F7A86" w:rsidP="0005132A">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Aviation</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at new or existing airports that are contained in the airport's 5-year Airport Capital Improvement Program submitted annually to GDOT and FAA. The types of projects included in this area are runways, taxiways, aprons</w:t>
      </w:r>
      <w:r w:rsidR="00401A78">
        <w:rPr>
          <w:rFonts w:ascii="Times New Roman" w:hAnsi="Times New Roman" w:cs="Times New Roman"/>
          <w:sz w:val="24"/>
        </w:rPr>
        <w:t>,</w:t>
      </w:r>
      <w:r w:rsidRPr="00A14105">
        <w:rPr>
          <w:rFonts w:ascii="Times New Roman" w:hAnsi="Times New Roman" w:cs="Times New Roman"/>
          <w:sz w:val="24"/>
        </w:rPr>
        <w:t xml:space="preserve">  navigational aids</w:t>
      </w:r>
      <w:r w:rsidR="00401A78">
        <w:rPr>
          <w:rFonts w:ascii="Times New Roman" w:hAnsi="Times New Roman" w:cs="Times New Roman"/>
          <w:sz w:val="24"/>
        </w:rPr>
        <w:t>, and safety improvements or enhancements</w:t>
      </w:r>
      <w:r w:rsidRPr="00A14105">
        <w:rPr>
          <w:rFonts w:ascii="Times New Roman" w:hAnsi="Times New Roman" w:cs="Times New Roman"/>
          <w:sz w:val="24"/>
        </w:rPr>
        <w:t>.</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 consistent with the goals and objectives of Georgia's Statewide Aviation System Plan</w:t>
      </w:r>
    </w:p>
    <w:p w:rsidR="00A14105" w:rsidRPr="00A14105" w:rsidRDefault="00A14105" w:rsidP="00A14105">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lastRenderedPageBreak/>
        <w:t>Bicycle and Pedestrian</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consistent with a Bicycle and Pedestrian Plan.</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that provide connectivity to/from or within a major regional employment or activity center.</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Projects that provide connection to/from existing or planned transit including bus stops and multimodal centers. (Note: Projects such as landscaping and recreational paths should be pursued using the 25% discretionary share.)</w:t>
      </w:r>
    </w:p>
    <w:p w:rsidR="00A14105" w:rsidRPr="00A14105" w:rsidRDefault="00A14105" w:rsidP="00A14105">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Transit Capital</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Capital expenditures may include new, systematic replacement, upgrades, refurbishment, and other capital project expenditures.</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New fixed guide way facilities should also include a 20-year operating plan. Funds for the operations may come from any identified source including Transporta</w:t>
      </w:r>
      <w:r w:rsidR="00BB16E1">
        <w:rPr>
          <w:rFonts w:ascii="Times New Roman" w:hAnsi="Times New Roman" w:cs="Times New Roman"/>
          <w:sz w:val="24"/>
        </w:rPr>
        <w:t xml:space="preserve">tion Investment </w:t>
      </w:r>
      <w:r w:rsidRPr="00A14105">
        <w:rPr>
          <w:rFonts w:ascii="Times New Roman" w:hAnsi="Times New Roman" w:cs="Times New Roman"/>
          <w:sz w:val="24"/>
        </w:rPr>
        <w:t>Act transit operation funds and its authorized reserves under O.C.G.A 48-8-241(c).</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Transit service for the proposed project should ultimately connect to employment centers or activity centers in the 'region and provide increased mobility for individuals.</w:t>
      </w:r>
    </w:p>
    <w:p w:rsidR="00A14105" w:rsidRPr="00A14105" w:rsidRDefault="00A14105" w:rsidP="00A14105">
      <w:pPr>
        <w:pStyle w:val="ListParagraph"/>
        <w:ind w:left="1080"/>
        <w:jc w:val="both"/>
        <w:rPr>
          <w:rFonts w:ascii="Times New Roman" w:hAnsi="Times New Roman" w:cs="Times New Roman"/>
          <w:sz w:val="24"/>
        </w:rPr>
      </w:pPr>
    </w:p>
    <w:p w:rsidR="009F7A86" w:rsidRPr="00A14105" w:rsidRDefault="009F7A86" w:rsidP="0005132A">
      <w:pPr>
        <w:pStyle w:val="ListParagraph"/>
        <w:numPr>
          <w:ilvl w:val="0"/>
          <w:numId w:val="2"/>
        </w:numPr>
        <w:jc w:val="both"/>
        <w:rPr>
          <w:rFonts w:ascii="Times New Roman" w:hAnsi="Times New Roman" w:cs="Times New Roman"/>
          <w:sz w:val="24"/>
        </w:rPr>
      </w:pPr>
      <w:r w:rsidRPr="00A14105">
        <w:rPr>
          <w:rFonts w:ascii="Times New Roman" w:hAnsi="Times New Roman" w:cs="Times New Roman"/>
          <w:sz w:val="24"/>
        </w:rPr>
        <w:t>Transit Operations and Maintenance</w:t>
      </w:r>
    </w:p>
    <w:p w:rsidR="00A14105" w:rsidRPr="00A14105" w:rsidRDefault="00A14105" w:rsidP="00A14105">
      <w:pPr>
        <w:pStyle w:val="ListParagraph"/>
        <w:numPr>
          <w:ilvl w:val="1"/>
          <w:numId w:val="2"/>
        </w:numPr>
        <w:jc w:val="both"/>
        <w:rPr>
          <w:rFonts w:ascii="Times New Roman" w:hAnsi="Times New Roman" w:cs="Times New Roman"/>
          <w:sz w:val="24"/>
        </w:rPr>
      </w:pPr>
      <w:r w:rsidRPr="00A14105">
        <w:rPr>
          <w:rFonts w:ascii="Times New Roman" w:hAnsi="Times New Roman" w:cs="Times New Roman"/>
          <w:sz w:val="24"/>
        </w:rPr>
        <w:t>Any funding must first serve to enhance the existing local or regional transit service in operations as of January 1, 2011.After the existing service is addressed, operations and maintenance funding from the regional sales tax would then be allocated to new transit projects.</w:t>
      </w:r>
    </w:p>
    <w:sectPr w:rsidR="00A14105" w:rsidRPr="00A14105" w:rsidSect="00FD5DF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ADE" w:rsidRDefault="00232ADE" w:rsidP="002F3CF5">
      <w:pPr>
        <w:spacing w:after="0" w:line="240" w:lineRule="auto"/>
      </w:pPr>
      <w:r>
        <w:separator/>
      </w:r>
    </w:p>
  </w:endnote>
  <w:endnote w:type="continuationSeparator" w:id="0">
    <w:p w:rsidR="00232ADE" w:rsidRDefault="00232ADE" w:rsidP="002F3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132837"/>
      <w:docPartObj>
        <w:docPartGallery w:val="Page Numbers (Bottom of Page)"/>
        <w:docPartUnique/>
      </w:docPartObj>
    </w:sdtPr>
    <w:sdtEndPr>
      <w:rPr>
        <w:noProof/>
      </w:rPr>
    </w:sdtEndPr>
    <w:sdtContent>
      <w:p w:rsidR="00FD5DFD" w:rsidRDefault="00FD5DFD">
        <w:pPr>
          <w:pStyle w:val="Footer"/>
          <w:jc w:val="center"/>
        </w:pPr>
        <w:r>
          <w:fldChar w:fldCharType="begin"/>
        </w:r>
        <w:r>
          <w:instrText xml:space="preserve"> PAGE   \* MERGEFORMAT </w:instrText>
        </w:r>
        <w:r>
          <w:fldChar w:fldCharType="separate"/>
        </w:r>
        <w:r w:rsidR="00780B86">
          <w:rPr>
            <w:noProof/>
          </w:rPr>
          <w:t>3</w:t>
        </w:r>
        <w:r>
          <w:rPr>
            <w:noProof/>
          </w:rPr>
          <w:fldChar w:fldCharType="end"/>
        </w:r>
      </w:p>
    </w:sdtContent>
  </w:sdt>
  <w:p w:rsidR="00FD5DFD" w:rsidRDefault="00FD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ADE" w:rsidRDefault="00232ADE" w:rsidP="002F3CF5">
      <w:pPr>
        <w:spacing w:after="0" w:line="240" w:lineRule="auto"/>
      </w:pPr>
      <w:r>
        <w:separator/>
      </w:r>
    </w:p>
  </w:footnote>
  <w:footnote w:type="continuationSeparator" w:id="0">
    <w:p w:rsidR="00232ADE" w:rsidRDefault="00232ADE" w:rsidP="002F3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4E1"/>
    <w:multiLevelType w:val="hybridMultilevel"/>
    <w:tmpl w:val="6CB4ABB0"/>
    <w:lvl w:ilvl="0" w:tplc="EEB083E6">
      <w:start w:val="2"/>
      <w:numFmt w:val="upperRoman"/>
      <w:lvlText w:val="%1."/>
      <w:lvlJc w:val="left"/>
      <w:pPr>
        <w:ind w:left="2813" w:hanging="733"/>
      </w:pPr>
      <w:rPr>
        <w:rFonts w:ascii="Times New Roman" w:eastAsia="Times New Roman" w:hAnsi="Times New Roman" w:hint="default"/>
        <w:color w:val="111111"/>
        <w:w w:val="97"/>
        <w:sz w:val="23"/>
        <w:szCs w:val="23"/>
      </w:rPr>
    </w:lvl>
    <w:lvl w:ilvl="1" w:tplc="9E92BFE6">
      <w:start w:val="1"/>
      <w:numFmt w:val="lowerLetter"/>
      <w:lvlText w:val="%2."/>
      <w:lvlJc w:val="left"/>
      <w:pPr>
        <w:ind w:left="3095" w:hanging="369"/>
      </w:pPr>
      <w:rPr>
        <w:rFonts w:ascii="Times New Roman" w:eastAsia="Times New Roman" w:hAnsi="Times New Roman" w:hint="default"/>
        <w:color w:val="111111"/>
        <w:w w:val="103"/>
        <w:sz w:val="23"/>
        <w:szCs w:val="23"/>
      </w:rPr>
    </w:lvl>
    <w:lvl w:ilvl="2" w:tplc="8DC657E2">
      <w:start w:val="1"/>
      <w:numFmt w:val="bullet"/>
      <w:lvlText w:val="•"/>
      <w:lvlJc w:val="left"/>
      <w:pPr>
        <w:ind w:left="4018" w:hanging="369"/>
      </w:pPr>
      <w:rPr>
        <w:rFonts w:hint="default"/>
      </w:rPr>
    </w:lvl>
    <w:lvl w:ilvl="3" w:tplc="09A668E2">
      <w:start w:val="1"/>
      <w:numFmt w:val="bullet"/>
      <w:lvlText w:val="•"/>
      <w:lvlJc w:val="left"/>
      <w:pPr>
        <w:ind w:left="4941" w:hanging="369"/>
      </w:pPr>
      <w:rPr>
        <w:rFonts w:hint="default"/>
      </w:rPr>
    </w:lvl>
    <w:lvl w:ilvl="4" w:tplc="25FEEFD4">
      <w:start w:val="1"/>
      <w:numFmt w:val="bullet"/>
      <w:lvlText w:val="•"/>
      <w:lvlJc w:val="left"/>
      <w:pPr>
        <w:ind w:left="5863" w:hanging="369"/>
      </w:pPr>
      <w:rPr>
        <w:rFonts w:hint="default"/>
      </w:rPr>
    </w:lvl>
    <w:lvl w:ilvl="5" w:tplc="4656C034">
      <w:start w:val="1"/>
      <w:numFmt w:val="bullet"/>
      <w:lvlText w:val="•"/>
      <w:lvlJc w:val="left"/>
      <w:pPr>
        <w:ind w:left="6786" w:hanging="369"/>
      </w:pPr>
      <w:rPr>
        <w:rFonts w:hint="default"/>
      </w:rPr>
    </w:lvl>
    <w:lvl w:ilvl="6" w:tplc="44CC975C">
      <w:start w:val="1"/>
      <w:numFmt w:val="bullet"/>
      <w:lvlText w:val="•"/>
      <w:lvlJc w:val="left"/>
      <w:pPr>
        <w:ind w:left="7709" w:hanging="369"/>
      </w:pPr>
      <w:rPr>
        <w:rFonts w:hint="default"/>
      </w:rPr>
    </w:lvl>
    <w:lvl w:ilvl="7" w:tplc="1C82071E">
      <w:start w:val="1"/>
      <w:numFmt w:val="bullet"/>
      <w:lvlText w:val="•"/>
      <w:lvlJc w:val="left"/>
      <w:pPr>
        <w:ind w:left="8631" w:hanging="369"/>
      </w:pPr>
      <w:rPr>
        <w:rFonts w:hint="default"/>
      </w:rPr>
    </w:lvl>
    <w:lvl w:ilvl="8" w:tplc="7CB48068">
      <w:start w:val="1"/>
      <w:numFmt w:val="bullet"/>
      <w:lvlText w:val="•"/>
      <w:lvlJc w:val="left"/>
      <w:pPr>
        <w:ind w:left="9554" w:hanging="369"/>
      </w:pPr>
      <w:rPr>
        <w:rFonts w:hint="default"/>
      </w:rPr>
    </w:lvl>
  </w:abstractNum>
  <w:abstractNum w:abstractNumId="1" w15:restartNumberingAfterBreak="0">
    <w:nsid w:val="081835DA"/>
    <w:multiLevelType w:val="hybridMultilevel"/>
    <w:tmpl w:val="4DB47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7A30"/>
    <w:multiLevelType w:val="hybridMultilevel"/>
    <w:tmpl w:val="BEBE3986"/>
    <w:lvl w:ilvl="0" w:tplc="37925858">
      <w:start w:val="5"/>
      <w:numFmt w:val="lowerLetter"/>
      <w:lvlText w:val="%1."/>
      <w:lvlJc w:val="left"/>
      <w:pPr>
        <w:ind w:left="2114" w:hanging="685"/>
      </w:pPr>
      <w:rPr>
        <w:rFonts w:ascii="Times New Roman" w:eastAsia="Times New Roman" w:hAnsi="Times New Roman" w:hint="default"/>
        <w:color w:val="111111"/>
        <w:w w:val="122"/>
        <w:sz w:val="23"/>
        <w:szCs w:val="23"/>
      </w:rPr>
    </w:lvl>
    <w:lvl w:ilvl="1" w:tplc="C3CAB4BA">
      <w:start w:val="1"/>
      <w:numFmt w:val="upperRoman"/>
      <w:lvlText w:val="%2."/>
      <w:lvlJc w:val="left"/>
      <w:pPr>
        <w:ind w:left="2822" w:hanging="661"/>
      </w:pPr>
      <w:rPr>
        <w:rFonts w:ascii="Arial" w:eastAsia="Arial" w:hAnsi="Arial" w:hint="default"/>
        <w:color w:val="111111"/>
        <w:w w:val="125"/>
        <w:sz w:val="21"/>
        <w:szCs w:val="21"/>
      </w:rPr>
    </w:lvl>
    <w:lvl w:ilvl="2" w:tplc="DED65CC4">
      <w:start w:val="1"/>
      <w:numFmt w:val="bullet"/>
      <w:lvlText w:val="•"/>
      <w:lvlJc w:val="left"/>
      <w:pPr>
        <w:ind w:left="2822" w:hanging="661"/>
      </w:pPr>
      <w:rPr>
        <w:rFonts w:hint="default"/>
      </w:rPr>
    </w:lvl>
    <w:lvl w:ilvl="3" w:tplc="674662A2">
      <w:start w:val="1"/>
      <w:numFmt w:val="bullet"/>
      <w:lvlText w:val="•"/>
      <w:lvlJc w:val="left"/>
      <w:pPr>
        <w:ind w:left="3894" w:hanging="661"/>
      </w:pPr>
      <w:rPr>
        <w:rFonts w:hint="default"/>
      </w:rPr>
    </w:lvl>
    <w:lvl w:ilvl="4" w:tplc="6E68E9B8">
      <w:start w:val="1"/>
      <w:numFmt w:val="bullet"/>
      <w:lvlText w:val="•"/>
      <w:lvlJc w:val="left"/>
      <w:pPr>
        <w:ind w:left="4967" w:hanging="661"/>
      </w:pPr>
      <w:rPr>
        <w:rFonts w:hint="default"/>
      </w:rPr>
    </w:lvl>
    <w:lvl w:ilvl="5" w:tplc="DB446364">
      <w:start w:val="1"/>
      <w:numFmt w:val="bullet"/>
      <w:lvlText w:val="•"/>
      <w:lvlJc w:val="left"/>
      <w:pPr>
        <w:ind w:left="6039" w:hanging="661"/>
      </w:pPr>
      <w:rPr>
        <w:rFonts w:hint="default"/>
      </w:rPr>
    </w:lvl>
    <w:lvl w:ilvl="6" w:tplc="53461E76">
      <w:start w:val="1"/>
      <w:numFmt w:val="bullet"/>
      <w:lvlText w:val="•"/>
      <w:lvlJc w:val="left"/>
      <w:pPr>
        <w:ind w:left="7111" w:hanging="661"/>
      </w:pPr>
      <w:rPr>
        <w:rFonts w:hint="default"/>
      </w:rPr>
    </w:lvl>
    <w:lvl w:ilvl="7" w:tplc="104ED506">
      <w:start w:val="1"/>
      <w:numFmt w:val="bullet"/>
      <w:lvlText w:val="•"/>
      <w:lvlJc w:val="left"/>
      <w:pPr>
        <w:ind w:left="8183" w:hanging="661"/>
      </w:pPr>
      <w:rPr>
        <w:rFonts w:hint="default"/>
      </w:rPr>
    </w:lvl>
    <w:lvl w:ilvl="8" w:tplc="00F4C70E">
      <w:start w:val="1"/>
      <w:numFmt w:val="bullet"/>
      <w:lvlText w:val="•"/>
      <w:lvlJc w:val="left"/>
      <w:pPr>
        <w:ind w:left="9255" w:hanging="661"/>
      </w:pPr>
      <w:rPr>
        <w:rFonts w:hint="default"/>
      </w:rPr>
    </w:lvl>
  </w:abstractNum>
  <w:abstractNum w:abstractNumId="3" w15:restartNumberingAfterBreak="0">
    <w:nsid w:val="328E2050"/>
    <w:multiLevelType w:val="hybridMultilevel"/>
    <w:tmpl w:val="CED2E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201E6"/>
    <w:multiLevelType w:val="hybridMultilevel"/>
    <w:tmpl w:val="86DC3350"/>
    <w:lvl w:ilvl="0" w:tplc="04090015">
      <w:start w:val="1"/>
      <w:numFmt w:val="upperLetter"/>
      <w:lvlText w:val="%1."/>
      <w:lvlJc w:val="left"/>
      <w:pPr>
        <w:ind w:left="360" w:hanging="360"/>
      </w:p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F12475"/>
    <w:multiLevelType w:val="hybridMultilevel"/>
    <w:tmpl w:val="B6D8EC14"/>
    <w:lvl w:ilvl="0" w:tplc="595445E0">
      <w:start w:val="2"/>
      <w:numFmt w:val="upperRoman"/>
      <w:lvlText w:val="%1."/>
      <w:lvlJc w:val="left"/>
      <w:pPr>
        <w:ind w:left="2827" w:hanging="551"/>
        <w:jc w:val="right"/>
      </w:pPr>
      <w:rPr>
        <w:rFonts w:ascii="Times New Roman" w:eastAsia="Times New Roman" w:hAnsi="Times New Roman" w:hint="default"/>
        <w:color w:val="111111"/>
        <w:w w:val="87"/>
        <w:sz w:val="23"/>
        <w:szCs w:val="23"/>
      </w:rPr>
    </w:lvl>
    <w:lvl w:ilvl="1" w:tplc="19E019A6">
      <w:start w:val="1"/>
      <w:numFmt w:val="bullet"/>
      <w:lvlText w:val="•"/>
      <w:lvlJc w:val="left"/>
      <w:pPr>
        <w:ind w:left="3684" w:hanging="551"/>
      </w:pPr>
      <w:rPr>
        <w:rFonts w:hint="default"/>
      </w:rPr>
    </w:lvl>
    <w:lvl w:ilvl="2" w:tplc="55FAD008">
      <w:start w:val="1"/>
      <w:numFmt w:val="bullet"/>
      <w:lvlText w:val="•"/>
      <w:lvlJc w:val="left"/>
      <w:pPr>
        <w:ind w:left="4542" w:hanging="551"/>
      </w:pPr>
      <w:rPr>
        <w:rFonts w:hint="default"/>
      </w:rPr>
    </w:lvl>
    <w:lvl w:ilvl="3" w:tplc="701436D4">
      <w:start w:val="1"/>
      <w:numFmt w:val="bullet"/>
      <w:lvlText w:val="•"/>
      <w:lvlJc w:val="left"/>
      <w:pPr>
        <w:ind w:left="5399" w:hanging="551"/>
      </w:pPr>
      <w:rPr>
        <w:rFonts w:hint="default"/>
      </w:rPr>
    </w:lvl>
    <w:lvl w:ilvl="4" w:tplc="E6A6FDD0">
      <w:start w:val="1"/>
      <w:numFmt w:val="bullet"/>
      <w:lvlText w:val="•"/>
      <w:lvlJc w:val="left"/>
      <w:pPr>
        <w:ind w:left="6256" w:hanging="551"/>
      </w:pPr>
      <w:rPr>
        <w:rFonts w:hint="default"/>
      </w:rPr>
    </w:lvl>
    <w:lvl w:ilvl="5" w:tplc="CD0019CA">
      <w:start w:val="1"/>
      <w:numFmt w:val="bullet"/>
      <w:lvlText w:val="•"/>
      <w:lvlJc w:val="left"/>
      <w:pPr>
        <w:ind w:left="7113" w:hanging="551"/>
      </w:pPr>
      <w:rPr>
        <w:rFonts w:hint="default"/>
      </w:rPr>
    </w:lvl>
    <w:lvl w:ilvl="6" w:tplc="D812EB84">
      <w:start w:val="1"/>
      <w:numFmt w:val="bullet"/>
      <w:lvlText w:val="•"/>
      <w:lvlJc w:val="left"/>
      <w:pPr>
        <w:ind w:left="7971" w:hanging="551"/>
      </w:pPr>
      <w:rPr>
        <w:rFonts w:hint="default"/>
      </w:rPr>
    </w:lvl>
    <w:lvl w:ilvl="7" w:tplc="E892A6A0">
      <w:start w:val="1"/>
      <w:numFmt w:val="bullet"/>
      <w:lvlText w:val="•"/>
      <w:lvlJc w:val="left"/>
      <w:pPr>
        <w:ind w:left="8828" w:hanging="551"/>
      </w:pPr>
      <w:rPr>
        <w:rFonts w:hint="default"/>
      </w:rPr>
    </w:lvl>
    <w:lvl w:ilvl="8" w:tplc="EBFA5B7A">
      <w:start w:val="1"/>
      <w:numFmt w:val="bullet"/>
      <w:lvlText w:val="•"/>
      <w:lvlJc w:val="left"/>
      <w:pPr>
        <w:ind w:left="9685" w:hanging="551"/>
      </w:pPr>
      <w:rPr>
        <w:rFonts w:hint="default"/>
      </w:rPr>
    </w:lvl>
  </w:abstractNum>
  <w:abstractNum w:abstractNumId="6" w15:restartNumberingAfterBreak="0">
    <w:nsid w:val="4A08475C"/>
    <w:multiLevelType w:val="hybridMultilevel"/>
    <w:tmpl w:val="CA20A7E8"/>
    <w:lvl w:ilvl="0" w:tplc="10BC4A50">
      <w:start w:val="2"/>
      <w:numFmt w:val="upperRoman"/>
      <w:lvlText w:val="%1."/>
      <w:lvlJc w:val="left"/>
      <w:pPr>
        <w:ind w:left="2818" w:hanging="733"/>
        <w:jc w:val="right"/>
      </w:pPr>
      <w:rPr>
        <w:rFonts w:ascii="Times New Roman" w:eastAsia="Times New Roman" w:hAnsi="Times New Roman" w:hint="default"/>
        <w:color w:val="111111"/>
        <w:w w:val="89"/>
        <w:sz w:val="23"/>
        <w:szCs w:val="23"/>
      </w:rPr>
    </w:lvl>
    <w:lvl w:ilvl="1" w:tplc="6F2A1C98">
      <w:start w:val="1"/>
      <w:numFmt w:val="bullet"/>
      <w:lvlText w:val="•"/>
      <w:lvlJc w:val="left"/>
      <w:pPr>
        <w:ind w:left="3676" w:hanging="733"/>
      </w:pPr>
      <w:rPr>
        <w:rFonts w:hint="default"/>
      </w:rPr>
    </w:lvl>
    <w:lvl w:ilvl="2" w:tplc="3E2C9E32">
      <w:start w:val="1"/>
      <w:numFmt w:val="bullet"/>
      <w:lvlText w:val="•"/>
      <w:lvlJc w:val="left"/>
      <w:pPr>
        <w:ind w:left="4534" w:hanging="733"/>
      </w:pPr>
      <w:rPr>
        <w:rFonts w:hint="default"/>
      </w:rPr>
    </w:lvl>
    <w:lvl w:ilvl="3" w:tplc="54E41510">
      <w:start w:val="1"/>
      <w:numFmt w:val="bullet"/>
      <w:lvlText w:val="•"/>
      <w:lvlJc w:val="left"/>
      <w:pPr>
        <w:ind w:left="5392" w:hanging="733"/>
      </w:pPr>
      <w:rPr>
        <w:rFonts w:hint="default"/>
      </w:rPr>
    </w:lvl>
    <w:lvl w:ilvl="4" w:tplc="82D0ECD8">
      <w:start w:val="1"/>
      <w:numFmt w:val="bullet"/>
      <w:lvlText w:val="•"/>
      <w:lvlJc w:val="left"/>
      <w:pPr>
        <w:ind w:left="6250" w:hanging="733"/>
      </w:pPr>
      <w:rPr>
        <w:rFonts w:hint="default"/>
      </w:rPr>
    </w:lvl>
    <w:lvl w:ilvl="5" w:tplc="B4CC85A6">
      <w:start w:val="1"/>
      <w:numFmt w:val="bullet"/>
      <w:lvlText w:val="•"/>
      <w:lvlJc w:val="left"/>
      <w:pPr>
        <w:ind w:left="7109" w:hanging="733"/>
      </w:pPr>
      <w:rPr>
        <w:rFonts w:hint="default"/>
      </w:rPr>
    </w:lvl>
    <w:lvl w:ilvl="6" w:tplc="922874DA">
      <w:start w:val="1"/>
      <w:numFmt w:val="bullet"/>
      <w:lvlText w:val="•"/>
      <w:lvlJc w:val="left"/>
      <w:pPr>
        <w:ind w:left="7967" w:hanging="733"/>
      </w:pPr>
      <w:rPr>
        <w:rFonts w:hint="default"/>
      </w:rPr>
    </w:lvl>
    <w:lvl w:ilvl="7" w:tplc="34FE813E">
      <w:start w:val="1"/>
      <w:numFmt w:val="bullet"/>
      <w:lvlText w:val="•"/>
      <w:lvlJc w:val="left"/>
      <w:pPr>
        <w:ind w:left="8825" w:hanging="733"/>
      </w:pPr>
      <w:rPr>
        <w:rFonts w:hint="default"/>
      </w:rPr>
    </w:lvl>
    <w:lvl w:ilvl="8" w:tplc="B0A65EE0">
      <w:start w:val="1"/>
      <w:numFmt w:val="bullet"/>
      <w:lvlText w:val="•"/>
      <w:lvlJc w:val="left"/>
      <w:pPr>
        <w:ind w:left="9683" w:hanging="733"/>
      </w:pPr>
      <w:rPr>
        <w:rFonts w:hint="default"/>
      </w:rPr>
    </w:lvl>
  </w:abstractNum>
  <w:abstractNum w:abstractNumId="7" w15:restartNumberingAfterBreak="0">
    <w:nsid w:val="5E0C3195"/>
    <w:multiLevelType w:val="hybridMultilevel"/>
    <w:tmpl w:val="ACE413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3A1BBB"/>
    <w:multiLevelType w:val="hybridMultilevel"/>
    <w:tmpl w:val="FE36F694"/>
    <w:lvl w:ilvl="0" w:tplc="39A0FC36">
      <w:start w:val="1"/>
      <w:numFmt w:val="lowerLetter"/>
      <w:lvlText w:val="%1."/>
      <w:lvlJc w:val="left"/>
      <w:pPr>
        <w:ind w:left="2104" w:hanging="666"/>
        <w:jc w:val="right"/>
      </w:pPr>
      <w:rPr>
        <w:rFonts w:ascii="Times New Roman" w:eastAsia="Times New Roman" w:hAnsi="Times New Roman" w:hint="default"/>
        <w:color w:val="111111"/>
        <w:w w:val="109"/>
        <w:sz w:val="24"/>
        <w:szCs w:val="24"/>
      </w:rPr>
    </w:lvl>
    <w:lvl w:ilvl="1" w:tplc="3E828188">
      <w:start w:val="1"/>
      <w:numFmt w:val="upperRoman"/>
      <w:lvlText w:val="%2."/>
      <w:lvlJc w:val="left"/>
      <w:pPr>
        <w:ind w:left="2837" w:hanging="479"/>
      </w:pPr>
      <w:rPr>
        <w:rFonts w:ascii="Arial" w:eastAsia="Arial" w:hAnsi="Arial" w:hint="default"/>
        <w:color w:val="111111"/>
        <w:w w:val="119"/>
        <w:sz w:val="21"/>
        <w:szCs w:val="21"/>
      </w:rPr>
    </w:lvl>
    <w:lvl w:ilvl="2" w:tplc="C17E9E8C">
      <w:start w:val="1"/>
      <w:numFmt w:val="lowerLetter"/>
      <w:lvlText w:val="%3."/>
      <w:lvlJc w:val="left"/>
      <w:pPr>
        <w:ind w:left="3100" w:hanging="364"/>
        <w:jc w:val="right"/>
      </w:pPr>
      <w:rPr>
        <w:rFonts w:ascii="Times New Roman" w:eastAsia="Times New Roman" w:hAnsi="Times New Roman" w:hint="default"/>
        <w:color w:val="111111"/>
        <w:sz w:val="23"/>
        <w:szCs w:val="23"/>
      </w:rPr>
    </w:lvl>
    <w:lvl w:ilvl="3" w:tplc="DC38D28E">
      <w:start w:val="1"/>
      <w:numFmt w:val="bullet"/>
      <w:lvlText w:val="•"/>
      <w:lvlJc w:val="left"/>
      <w:pPr>
        <w:ind w:left="2837" w:hanging="364"/>
      </w:pPr>
      <w:rPr>
        <w:rFonts w:hint="default"/>
      </w:rPr>
    </w:lvl>
    <w:lvl w:ilvl="4" w:tplc="2D8017DA">
      <w:start w:val="1"/>
      <w:numFmt w:val="bullet"/>
      <w:lvlText w:val="•"/>
      <w:lvlJc w:val="left"/>
      <w:pPr>
        <w:ind w:left="3100" w:hanging="364"/>
      </w:pPr>
      <w:rPr>
        <w:rFonts w:hint="default"/>
      </w:rPr>
    </w:lvl>
    <w:lvl w:ilvl="5" w:tplc="5BE0161E">
      <w:start w:val="1"/>
      <w:numFmt w:val="bullet"/>
      <w:lvlText w:val="•"/>
      <w:lvlJc w:val="left"/>
      <w:pPr>
        <w:ind w:left="4483" w:hanging="364"/>
      </w:pPr>
      <w:rPr>
        <w:rFonts w:hint="default"/>
      </w:rPr>
    </w:lvl>
    <w:lvl w:ilvl="6" w:tplc="D624B842">
      <w:start w:val="1"/>
      <w:numFmt w:val="bullet"/>
      <w:lvlText w:val="•"/>
      <w:lvlJc w:val="left"/>
      <w:pPr>
        <w:ind w:left="5867" w:hanging="364"/>
      </w:pPr>
      <w:rPr>
        <w:rFonts w:hint="default"/>
      </w:rPr>
    </w:lvl>
    <w:lvl w:ilvl="7" w:tplc="61160278">
      <w:start w:val="1"/>
      <w:numFmt w:val="bullet"/>
      <w:lvlText w:val="•"/>
      <w:lvlJc w:val="left"/>
      <w:pPr>
        <w:ind w:left="7250" w:hanging="364"/>
      </w:pPr>
      <w:rPr>
        <w:rFonts w:hint="default"/>
      </w:rPr>
    </w:lvl>
    <w:lvl w:ilvl="8" w:tplc="0CAA332E">
      <w:start w:val="1"/>
      <w:numFmt w:val="bullet"/>
      <w:lvlText w:val="•"/>
      <w:lvlJc w:val="left"/>
      <w:pPr>
        <w:ind w:left="8633" w:hanging="364"/>
      </w:pPr>
      <w:rPr>
        <w:rFonts w:hint="default"/>
      </w:rPr>
    </w:lvl>
  </w:abstractNum>
  <w:num w:numId="1">
    <w:abstractNumId w:val="3"/>
  </w:num>
  <w:num w:numId="2">
    <w:abstractNumId w:val="4"/>
  </w:num>
  <w:num w:numId="3">
    <w:abstractNumId w:val="5"/>
  </w:num>
  <w:num w:numId="4">
    <w:abstractNumId w:val="8"/>
  </w:num>
  <w:num w:numId="5">
    <w:abstractNumId w:val="7"/>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86"/>
    <w:rsid w:val="00025EA4"/>
    <w:rsid w:val="0005132A"/>
    <w:rsid w:val="00232ADE"/>
    <w:rsid w:val="00282F75"/>
    <w:rsid w:val="002F3CF5"/>
    <w:rsid w:val="00342399"/>
    <w:rsid w:val="00401A78"/>
    <w:rsid w:val="004A2D2B"/>
    <w:rsid w:val="00537908"/>
    <w:rsid w:val="00554223"/>
    <w:rsid w:val="00625504"/>
    <w:rsid w:val="006D06E5"/>
    <w:rsid w:val="0070376E"/>
    <w:rsid w:val="00780B86"/>
    <w:rsid w:val="007B00B4"/>
    <w:rsid w:val="007F699D"/>
    <w:rsid w:val="008F03A3"/>
    <w:rsid w:val="009F4720"/>
    <w:rsid w:val="009F7A86"/>
    <w:rsid w:val="00A14105"/>
    <w:rsid w:val="00A141AB"/>
    <w:rsid w:val="00B2422C"/>
    <w:rsid w:val="00BB16E1"/>
    <w:rsid w:val="00CD794E"/>
    <w:rsid w:val="00D25A0D"/>
    <w:rsid w:val="00E83F84"/>
    <w:rsid w:val="00EC78FF"/>
    <w:rsid w:val="00EE365C"/>
    <w:rsid w:val="00F30C3E"/>
    <w:rsid w:val="00FD5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42E9E-7157-4D37-B5EF-703A587E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7A86"/>
    <w:pPr>
      <w:widowControl w:val="0"/>
      <w:spacing w:before="20" w:after="0" w:line="240" w:lineRule="auto"/>
      <w:ind w:left="1609"/>
      <w:outlineLvl w:val="0"/>
    </w:pPr>
    <w:rPr>
      <w:rFonts w:ascii="Times New Roman" w:eastAsia="Times New Roman" w:hAnsi="Times New Roman"/>
      <w:sz w:val="62"/>
      <w:szCs w:val="62"/>
    </w:rPr>
  </w:style>
  <w:style w:type="paragraph" w:styleId="Heading2">
    <w:name w:val="heading 2"/>
    <w:basedOn w:val="Normal"/>
    <w:link w:val="Heading2Char"/>
    <w:uiPriority w:val="1"/>
    <w:qFormat/>
    <w:rsid w:val="009F7A86"/>
    <w:pPr>
      <w:widowControl w:val="0"/>
      <w:spacing w:before="1" w:after="0" w:line="240" w:lineRule="auto"/>
      <w:ind w:left="1735"/>
      <w:outlineLvl w:val="1"/>
    </w:pPr>
    <w:rPr>
      <w:rFonts w:ascii="Times New Roman" w:eastAsia="Times New Roman" w:hAnsi="Times New Roman"/>
      <w:sz w:val="58"/>
      <w:szCs w:val="58"/>
    </w:rPr>
  </w:style>
  <w:style w:type="paragraph" w:styleId="Heading5">
    <w:name w:val="heading 5"/>
    <w:basedOn w:val="Normal"/>
    <w:next w:val="Normal"/>
    <w:link w:val="Heading5Char"/>
    <w:uiPriority w:val="9"/>
    <w:semiHidden/>
    <w:unhideWhenUsed/>
    <w:qFormat/>
    <w:rsid w:val="009F7A8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A86"/>
    <w:rPr>
      <w:rFonts w:ascii="Times New Roman" w:eastAsia="Times New Roman" w:hAnsi="Times New Roman"/>
      <w:sz w:val="62"/>
      <w:szCs w:val="62"/>
    </w:rPr>
  </w:style>
  <w:style w:type="character" w:customStyle="1" w:styleId="Heading2Char">
    <w:name w:val="Heading 2 Char"/>
    <w:basedOn w:val="DefaultParagraphFont"/>
    <w:link w:val="Heading2"/>
    <w:uiPriority w:val="1"/>
    <w:rsid w:val="009F7A86"/>
    <w:rPr>
      <w:rFonts w:ascii="Times New Roman" w:eastAsia="Times New Roman" w:hAnsi="Times New Roman"/>
      <w:sz w:val="58"/>
      <w:szCs w:val="58"/>
    </w:rPr>
  </w:style>
  <w:style w:type="paragraph" w:styleId="ListParagraph">
    <w:name w:val="List Paragraph"/>
    <w:basedOn w:val="Normal"/>
    <w:uiPriority w:val="34"/>
    <w:qFormat/>
    <w:rsid w:val="009F7A86"/>
    <w:pPr>
      <w:ind w:left="720"/>
      <w:contextualSpacing/>
    </w:pPr>
  </w:style>
  <w:style w:type="character" w:customStyle="1" w:styleId="Heading5Char">
    <w:name w:val="Heading 5 Char"/>
    <w:basedOn w:val="DefaultParagraphFont"/>
    <w:link w:val="Heading5"/>
    <w:uiPriority w:val="9"/>
    <w:semiHidden/>
    <w:rsid w:val="009F7A8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A14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CF5"/>
  </w:style>
  <w:style w:type="paragraph" w:styleId="Footer">
    <w:name w:val="footer"/>
    <w:basedOn w:val="Normal"/>
    <w:link w:val="FooterChar"/>
    <w:uiPriority w:val="99"/>
    <w:unhideWhenUsed/>
    <w:rsid w:val="002F3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CF5"/>
  </w:style>
  <w:style w:type="paragraph" w:styleId="BalloonText">
    <w:name w:val="Balloon Text"/>
    <w:basedOn w:val="Normal"/>
    <w:link w:val="BalloonTextChar"/>
    <w:uiPriority w:val="99"/>
    <w:semiHidden/>
    <w:unhideWhenUsed/>
    <w:rsid w:val="00282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4241">
      <w:bodyDiv w:val="1"/>
      <w:marLeft w:val="0"/>
      <w:marRight w:val="0"/>
      <w:marTop w:val="0"/>
      <w:marBottom w:val="0"/>
      <w:divBdr>
        <w:top w:val="none" w:sz="0" w:space="0" w:color="auto"/>
        <w:left w:val="none" w:sz="0" w:space="0" w:color="auto"/>
        <w:bottom w:val="none" w:sz="0" w:space="0" w:color="auto"/>
        <w:right w:val="none" w:sz="0" w:space="0" w:color="auto"/>
      </w:divBdr>
    </w:div>
    <w:div w:id="263728408">
      <w:bodyDiv w:val="1"/>
      <w:marLeft w:val="0"/>
      <w:marRight w:val="0"/>
      <w:marTop w:val="0"/>
      <w:marBottom w:val="0"/>
      <w:divBdr>
        <w:top w:val="none" w:sz="0" w:space="0" w:color="auto"/>
        <w:left w:val="none" w:sz="0" w:space="0" w:color="auto"/>
        <w:bottom w:val="none" w:sz="0" w:space="0" w:color="auto"/>
        <w:right w:val="none" w:sz="0" w:space="0" w:color="auto"/>
      </w:divBdr>
    </w:div>
    <w:div w:id="656570117">
      <w:bodyDiv w:val="1"/>
      <w:marLeft w:val="0"/>
      <w:marRight w:val="0"/>
      <w:marTop w:val="0"/>
      <w:marBottom w:val="0"/>
      <w:divBdr>
        <w:top w:val="none" w:sz="0" w:space="0" w:color="auto"/>
        <w:left w:val="none" w:sz="0" w:space="0" w:color="auto"/>
        <w:bottom w:val="none" w:sz="0" w:space="0" w:color="auto"/>
        <w:right w:val="none" w:sz="0" w:space="0" w:color="auto"/>
      </w:divBdr>
    </w:div>
    <w:div w:id="756101154">
      <w:bodyDiv w:val="1"/>
      <w:marLeft w:val="0"/>
      <w:marRight w:val="0"/>
      <w:marTop w:val="0"/>
      <w:marBottom w:val="0"/>
      <w:divBdr>
        <w:top w:val="none" w:sz="0" w:space="0" w:color="auto"/>
        <w:left w:val="none" w:sz="0" w:space="0" w:color="auto"/>
        <w:bottom w:val="none" w:sz="0" w:space="0" w:color="auto"/>
        <w:right w:val="none" w:sz="0" w:space="0" w:color="auto"/>
      </w:divBdr>
    </w:div>
    <w:div w:id="1349142015">
      <w:bodyDiv w:val="1"/>
      <w:marLeft w:val="0"/>
      <w:marRight w:val="0"/>
      <w:marTop w:val="0"/>
      <w:marBottom w:val="0"/>
      <w:divBdr>
        <w:top w:val="none" w:sz="0" w:space="0" w:color="auto"/>
        <w:left w:val="none" w:sz="0" w:space="0" w:color="auto"/>
        <w:bottom w:val="none" w:sz="0" w:space="0" w:color="auto"/>
        <w:right w:val="none" w:sz="0" w:space="0" w:color="auto"/>
      </w:divBdr>
    </w:div>
    <w:div w:id="1434672189">
      <w:bodyDiv w:val="1"/>
      <w:marLeft w:val="0"/>
      <w:marRight w:val="0"/>
      <w:marTop w:val="0"/>
      <w:marBottom w:val="0"/>
      <w:divBdr>
        <w:top w:val="none" w:sz="0" w:space="0" w:color="auto"/>
        <w:left w:val="none" w:sz="0" w:space="0" w:color="auto"/>
        <w:bottom w:val="none" w:sz="0" w:space="0" w:color="auto"/>
        <w:right w:val="none" w:sz="0" w:space="0" w:color="auto"/>
      </w:divBdr>
    </w:div>
    <w:div w:id="20193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C4E598966164AB0D68A5841552FF0" ma:contentTypeVersion="0" ma:contentTypeDescription="Create a new document." ma:contentTypeScope="" ma:versionID="13f94e9f22b59474ab0572f5fa8523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ABB7-EF12-4F02-B44E-C2F89CF31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49FBD-D468-4A13-B6E4-33D05A28CFB6}">
  <ds:schemaRefs>
    <ds:schemaRef ds:uri="http://schemas.microsoft.com/sharepoint/v3/contenttype/forms"/>
  </ds:schemaRefs>
</ds:datastoreItem>
</file>

<file path=customXml/itemProps3.xml><?xml version="1.0" encoding="utf-8"?>
<ds:datastoreItem xmlns:ds="http://schemas.openxmlformats.org/officeDocument/2006/customXml" ds:itemID="{E8B1F40A-E84D-4217-B5F1-785A6086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Claudia S</dc:creator>
  <cp:keywords/>
  <dc:description/>
  <cp:lastModifiedBy>Corey Hull</cp:lastModifiedBy>
  <cp:revision>2</cp:revision>
  <cp:lastPrinted>2017-05-24T18:57:00Z</cp:lastPrinted>
  <dcterms:created xsi:type="dcterms:W3CDTF">2017-07-14T13:09:00Z</dcterms:created>
  <dcterms:modified xsi:type="dcterms:W3CDTF">2017-07-14T13:09:00Z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0x010100987C4E598966164AB0D68A5841552FF0</vt:lpwstr>
  </property>
</Properties>
</file>